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7"/>
        <w:gridCol w:w="3157"/>
        <w:gridCol w:w="3195"/>
        <w:gridCol w:w="3195"/>
        <w:gridCol w:w="3195"/>
        <w:gridCol w:w="3195"/>
        <w:gridCol w:w="1833"/>
      </w:tblGrid>
      <w:tr w:rsidR="00D01942" w:rsidTr="009A15E1">
        <w:trPr>
          <w:trHeight w:val="453"/>
        </w:trPr>
        <w:tc>
          <w:tcPr>
            <w:tcW w:w="3157" w:type="dxa"/>
          </w:tcPr>
          <w:p w:rsidR="00D01942" w:rsidRDefault="00D01942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Language Cue or Convention </w:t>
            </w:r>
          </w:p>
        </w:tc>
        <w:tc>
          <w:tcPr>
            <w:tcW w:w="3157" w:type="dxa"/>
          </w:tcPr>
          <w:p w:rsidR="00D01942" w:rsidRDefault="00D01942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Comprehend and Respond </w:t>
            </w:r>
          </w:p>
          <w:p w:rsidR="00D01942" w:rsidRDefault="00D01942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viewing, listening, or reading, grade 1 students: </w:t>
            </w:r>
          </w:p>
        </w:tc>
        <w:tc>
          <w:tcPr>
            <w:tcW w:w="3195" w:type="dxa"/>
          </w:tcPr>
          <w:p w:rsidR="00D01942" w:rsidRDefault="00D01942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Comprehend and Respond </w:t>
            </w:r>
          </w:p>
          <w:p w:rsidR="00D01942" w:rsidRDefault="00D01942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viewing, listening, or reading, grade 2 students: </w:t>
            </w:r>
          </w:p>
        </w:tc>
        <w:tc>
          <w:tcPr>
            <w:tcW w:w="3195" w:type="dxa"/>
          </w:tcPr>
          <w:p w:rsidR="00D01942" w:rsidRDefault="00D01942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Comprehend and Respond </w:t>
            </w:r>
          </w:p>
          <w:p w:rsidR="00D01942" w:rsidRDefault="00D01942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viewing, listening, or reading, grade 3 students: </w:t>
            </w:r>
          </w:p>
        </w:tc>
        <w:tc>
          <w:tcPr>
            <w:tcW w:w="3195" w:type="dxa"/>
          </w:tcPr>
          <w:p w:rsidR="00D01942" w:rsidRDefault="00D01942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Comprehend and Respond </w:t>
            </w:r>
          </w:p>
          <w:p w:rsidR="00D01942" w:rsidRDefault="00D01942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viewing, listening, or reading, Grade 4 students: </w:t>
            </w:r>
          </w:p>
        </w:tc>
        <w:tc>
          <w:tcPr>
            <w:tcW w:w="3195" w:type="dxa"/>
          </w:tcPr>
          <w:p w:rsidR="00D01942" w:rsidRDefault="00D01942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Comprehend and Respond </w:t>
            </w:r>
          </w:p>
          <w:p w:rsidR="00D01942" w:rsidRDefault="00D01942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viewing, listening, or reading, Grade 5 students: </w:t>
            </w:r>
          </w:p>
        </w:tc>
        <w:tc>
          <w:tcPr>
            <w:tcW w:w="1833" w:type="dxa"/>
          </w:tcPr>
          <w:p w:rsidR="00D01942" w:rsidRDefault="00D01942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Page 1 </w:t>
            </w:r>
          </w:p>
        </w:tc>
      </w:tr>
    </w:tbl>
    <w:p w:rsidR="00160ABC" w:rsidRDefault="009847AF">
      <w:r>
        <w:t>___________________________________________________________________________________________________________________________________________________________________________</w:t>
      </w:r>
    </w:p>
    <w:p w:rsidR="00160ABC" w:rsidRDefault="00160ABC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5"/>
        <w:gridCol w:w="3245"/>
        <w:gridCol w:w="2901"/>
        <w:gridCol w:w="113"/>
        <w:gridCol w:w="2942"/>
        <w:gridCol w:w="143"/>
        <w:gridCol w:w="2952"/>
        <w:gridCol w:w="268"/>
        <w:gridCol w:w="2932"/>
        <w:gridCol w:w="73"/>
      </w:tblGrid>
      <w:tr w:rsidR="0025135C" w:rsidTr="00400D7B">
        <w:trPr>
          <w:trHeight w:val="822"/>
        </w:trPr>
        <w:tc>
          <w:tcPr>
            <w:tcW w:w="3245" w:type="dxa"/>
          </w:tcPr>
          <w:p w:rsidR="0025135C" w:rsidRDefault="0025135C">
            <w:pPr>
              <w:pStyle w:val="Pa6"/>
              <w:spacing w:after="100"/>
              <w:rPr>
                <w:rFonts w:cs="Myriad Pro Light"/>
                <w:color w:val="000000"/>
                <w:sz w:val="20"/>
                <w:szCs w:val="20"/>
              </w:rPr>
            </w:pPr>
            <w:r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Pragmatic </w:t>
            </w:r>
          </w:p>
          <w:p w:rsidR="0025135C" w:rsidRDefault="0025135C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Pragmatics is the study of how people choose what and how to communicate from a range of possibilities available in the language and how the receiver will be affected by these choices. </w:t>
            </w:r>
          </w:p>
          <w:p w:rsidR="0025135C" w:rsidRPr="00160ABC" w:rsidRDefault="0025135C" w:rsidP="00160ABC"/>
        </w:tc>
        <w:tc>
          <w:tcPr>
            <w:tcW w:w="3245" w:type="dxa"/>
          </w:tcPr>
          <w:p w:rsidR="0073777B" w:rsidRDefault="0073777B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Identify a purpose for viewing, listening, and reading. </w:t>
            </w:r>
          </w:p>
        </w:tc>
        <w:tc>
          <w:tcPr>
            <w:tcW w:w="2901" w:type="dxa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Identify and state reasons for viewing, listening, and reading. </w:t>
            </w:r>
          </w:p>
        </w:tc>
        <w:tc>
          <w:tcPr>
            <w:tcW w:w="3055" w:type="dxa"/>
            <w:gridSpan w:val="2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Recognize that a text was created for an intended purpose. </w:t>
            </w:r>
          </w:p>
        </w:tc>
        <w:tc>
          <w:tcPr>
            <w:tcW w:w="3095" w:type="dxa"/>
            <w:gridSpan w:val="2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State reasons for viewing, listening, and reading and analyze the purpose of a text (e.g., inform, persuade, </w:t>
            </w:r>
            <w:proofErr w:type="gramStart"/>
            <w:r>
              <w:rPr>
                <w:rFonts w:cs="Myriad Pro"/>
                <w:color w:val="000000"/>
                <w:sz w:val="20"/>
                <w:szCs w:val="20"/>
              </w:rPr>
              <w:t>narrate</w:t>
            </w:r>
            <w:proofErr w:type="gramEnd"/>
            <w:r>
              <w:rPr>
                <w:rFonts w:cs="Myriad Pro"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3273" w:type="dxa"/>
            <w:gridSpan w:val="3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Identify intended audience and purpose for a text; recognize and interpret various uses of language in social, cultural, and regional situations. </w:t>
            </w:r>
          </w:p>
        </w:tc>
      </w:tr>
      <w:tr w:rsidR="0025135C" w:rsidTr="00DA6240">
        <w:trPr>
          <w:gridAfter w:val="1"/>
          <w:wAfter w:w="73" w:type="dxa"/>
          <w:trHeight w:val="822"/>
        </w:trPr>
        <w:tc>
          <w:tcPr>
            <w:tcW w:w="3245" w:type="dxa"/>
            <w:tcBorders>
              <w:left w:val="nil"/>
              <w:bottom w:val="nil"/>
            </w:tcBorders>
          </w:tcPr>
          <w:p w:rsidR="0025135C" w:rsidRPr="00160ABC" w:rsidRDefault="0025135C">
            <w:pPr>
              <w:pStyle w:val="Pa6"/>
              <w:spacing w:after="100"/>
              <w:rPr>
                <w:rFonts w:cs="Myriad Pro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Textual </w:t>
            </w:r>
          </w:p>
          <w:p w:rsidR="0025135C" w:rsidRPr="00160ABC" w:rsidRDefault="0025135C">
            <w:pPr>
              <w:pStyle w:val="Pa6"/>
              <w:spacing w:after="100"/>
              <w:rPr>
                <w:rFonts w:cs="Myriad Pro Light"/>
                <w:bCs/>
                <w:color w:val="000000"/>
                <w:sz w:val="20"/>
                <w:szCs w:val="20"/>
              </w:rPr>
            </w:pPr>
            <w:r w:rsidRPr="00160ABC">
              <w:rPr>
                <w:rFonts w:cs="Myriad Pro Light"/>
                <w:bCs/>
                <w:color w:val="000000"/>
                <w:sz w:val="20"/>
                <w:szCs w:val="20"/>
              </w:rPr>
              <w:t xml:space="preserve">Ideas and information are organized in oral, written, and other formats. Textual cues and conventions include the form or structure and elements of a text. </w:t>
            </w:r>
          </w:p>
        </w:tc>
        <w:tc>
          <w:tcPr>
            <w:tcW w:w="3245" w:type="dxa"/>
            <w:tcBorders>
              <w:bottom w:val="nil"/>
              <w:right w:val="nil"/>
            </w:tcBorders>
          </w:tcPr>
          <w:p w:rsidR="0073777B" w:rsidRDefault="0073777B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Recognize different text forms (including poem, story, fairy tale, informational text) and some of their structures and features (e.g., title, page number, sequence, description, problem/resolution); recognize the difference between fiction and non-fiction </w:t>
            </w:r>
          </w:p>
        </w:tc>
        <w:tc>
          <w:tcPr>
            <w:tcW w:w="3014" w:type="dxa"/>
            <w:gridSpan w:val="2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Recognize and use different text forms (e.g., story, poem, recipe, explanation, play), features (e.g., paragraphs, verses, dialogue), and elements (e.g., title, author, character, problem). </w:t>
            </w:r>
          </w:p>
        </w:tc>
        <w:tc>
          <w:tcPr>
            <w:tcW w:w="3085" w:type="dxa"/>
            <w:gridSpan w:val="2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Identify and explain different forms of texts (e.g., story, play, poem, video, legends, fables, informational texts); use knowledge of the elements and organization of different texts (e.g., goal/problem/solution, description, sequence, comparison, cause and effect); identify conventions of texts (e.g., chapter titles, table of contents, glossary). </w:t>
            </w:r>
          </w:p>
        </w:tc>
        <w:tc>
          <w:tcPr>
            <w:tcW w:w="3220" w:type="dxa"/>
            <w:gridSpan w:val="2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Identify and use various text structures (e.g., stanzas in poems, chapters in novels) and their elements (e.g., setting, characters, plot, main idea); use knowledge of the organization of different text forms (e.g., comparison, cause and effect, problem-solution) to understand content. </w:t>
            </w:r>
          </w:p>
        </w:tc>
        <w:tc>
          <w:tcPr>
            <w:tcW w:w="2932" w:type="dxa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Identify various forms of texts, their characteristics (such as headings, paragraphs), and the ways they are organized and the patterns within (such as comparison and contrast); recognize differences in text types used in other subject areas. </w:t>
            </w:r>
          </w:p>
        </w:tc>
      </w:tr>
    </w:tbl>
    <w:p w:rsidR="00F662C8" w:rsidRDefault="00F662C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53"/>
        <w:gridCol w:w="3353"/>
        <w:gridCol w:w="3182"/>
        <w:gridCol w:w="3124"/>
        <w:gridCol w:w="3089"/>
        <w:gridCol w:w="3271"/>
      </w:tblGrid>
      <w:tr w:rsidR="0025135C" w:rsidTr="00C436FF">
        <w:trPr>
          <w:trHeight w:val="2925"/>
        </w:trPr>
        <w:tc>
          <w:tcPr>
            <w:tcW w:w="3353" w:type="dxa"/>
          </w:tcPr>
          <w:p w:rsidR="0025135C" w:rsidRDefault="0025135C">
            <w:pPr>
              <w:pStyle w:val="Pa6"/>
              <w:spacing w:after="100"/>
              <w:rPr>
                <w:rFonts w:cs="Myriad Pro Light"/>
                <w:color w:val="000000"/>
                <w:sz w:val="20"/>
                <w:szCs w:val="20"/>
              </w:rPr>
            </w:pPr>
            <w:r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Syntactic </w:t>
            </w:r>
          </w:p>
          <w:p w:rsidR="0025135C" w:rsidRDefault="0025135C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Syntax is the predictable structure of a sentence and the ways words are combined to form phrases, clauses, and sentences. Syntax includes classes of words (e.g., verbs) and their functions (e.g., subjects). </w:t>
            </w:r>
          </w:p>
        </w:tc>
        <w:tc>
          <w:tcPr>
            <w:tcW w:w="3353" w:type="dxa"/>
          </w:tcPr>
          <w:p w:rsidR="0073777B" w:rsidRDefault="0073777B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Understand sentence structure and predictable word order (e.g., I can . . . , I can . . </w:t>
            </w:r>
            <w:proofErr w:type="gramStart"/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. )</w:t>
            </w:r>
            <w:proofErr w:type="gramEnd"/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; recognize a complete sentence and its end punctuation; use punctuation (including period and comma) to help understanding. </w:t>
            </w:r>
          </w:p>
        </w:tc>
        <w:tc>
          <w:tcPr>
            <w:tcW w:w="3182" w:type="dxa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Recognize and comprehend simple, compound, and complex sentences and their related punctuation including quotation marks; use knowledge of sentence structure to determine meaning of a sentence (e.g., the subject and verb are inverted in a question); use punctuation to help understand what they read (e.g., question mark, exclamation, apostrophe). </w:t>
            </w:r>
          </w:p>
        </w:tc>
        <w:tc>
          <w:tcPr>
            <w:tcW w:w="3124" w:type="dxa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 knowledge of word order to determine meaning of sentences; use the relationships of words (e.g., subject-verb; noun-pronoun) in sentences to help construct meaning; use punctuation to help understand meaning (including question mark, exclamation mark, comma). </w:t>
            </w:r>
          </w:p>
        </w:tc>
        <w:tc>
          <w:tcPr>
            <w:tcW w:w="3089" w:type="dxa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 knowledge of sentence structure and elements to comprehend; use punctuation to understand what is listened to or read. </w:t>
            </w:r>
          </w:p>
        </w:tc>
        <w:tc>
          <w:tcPr>
            <w:tcW w:w="3271" w:type="dxa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 knowledge of sentence elements and patterns (simple, compound, and complex) and their related punctuation to understand what is listened to or read. </w:t>
            </w:r>
          </w:p>
        </w:tc>
      </w:tr>
    </w:tbl>
    <w:p w:rsidR="0025135C" w:rsidRDefault="0025135C"/>
    <w:p w:rsidR="0025135C" w:rsidRDefault="0025135C">
      <w: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21"/>
        <w:gridCol w:w="3321"/>
        <w:gridCol w:w="3248"/>
        <w:gridCol w:w="3245"/>
        <w:gridCol w:w="3245"/>
        <w:gridCol w:w="2917"/>
        <w:gridCol w:w="1833"/>
      </w:tblGrid>
      <w:tr w:rsidR="00D01942" w:rsidTr="00F367FB">
        <w:trPr>
          <w:trHeight w:val="952"/>
        </w:trPr>
        <w:tc>
          <w:tcPr>
            <w:tcW w:w="3321" w:type="dxa"/>
            <w:tcBorders>
              <w:top w:val="nil"/>
              <w:left w:val="nil"/>
            </w:tcBorders>
          </w:tcPr>
          <w:p w:rsidR="00D01942" w:rsidRPr="0025135C" w:rsidRDefault="00D01942" w:rsidP="0025135C">
            <w:pPr>
              <w:pStyle w:val="Pa6"/>
              <w:rPr>
                <w:rFonts w:cs="Myriad Pro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Myriad Pro Light"/>
                <w:b/>
                <w:bCs/>
                <w:noProof/>
                <w:color w:val="000000"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0;margin-top:45pt;width:957.75pt;height:1.5pt;z-index:251660288" o:connectortype="straight"/>
              </w:pict>
            </w:r>
            <w:r w:rsidRPr="0025135C">
              <w:rPr>
                <w:rStyle w:val="A4"/>
                <w:rFonts w:cs="Myriad Pro Light"/>
              </w:rPr>
              <w:t xml:space="preserve">Language Cue or Convention </w:t>
            </w:r>
          </w:p>
        </w:tc>
        <w:tc>
          <w:tcPr>
            <w:tcW w:w="3321" w:type="dxa"/>
            <w:tcBorders>
              <w:top w:val="nil"/>
            </w:tcBorders>
          </w:tcPr>
          <w:p w:rsidR="00D01942" w:rsidRPr="0025135C" w:rsidRDefault="00D01942" w:rsidP="0025135C">
            <w:pPr>
              <w:pStyle w:val="Pa6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25135C">
              <w:rPr>
                <w:rStyle w:val="A4"/>
                <w:rFonts w:ascii="Myriad Pro" w:hAnsi="Myriad Pro"/>
                <w:bCs w:val="0"/>
              </w:rPr>
              <w:t xml:space="preserve">Comprehend and Respond </w:t>
            </w:r>
          </w:p>
          <w:p w:rsidR="00D01942" w:rsidRPr="0025135C" w:rsidRDefault="00D01942" w:rsidP="0025135C">
            <w:pPr>
              <w:pStyle w:val="Pa6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25135C">
              <w:rPr>
                <w:rStyle w:val="A4"/>
                <w:rFonts w:ascii="Myriad Pro" w:hAnsi="Myriad Pro"/>
                <w:bCs w:val="0"/>
              </w:rPr>
              <w:t xml:space="preserve">When viewing, listening, or reading, grade 1 students: </w:t>
            </w:r>
          </w:p>
        </w:tc>
        <w:tc>
          <w:tcPr>
            <w:tcW w:w="3248" w:type="dxa"/>
            <w:tcBorders>
              <w:top w:val="nil"/>
            </w:tcBorders>
          </w:tcPr>
          <w:p w:rsidR="00D01942" w:rsidRPr="0025135C" w:rsidRDefault="00D01942" w:rsidP="0025135C">
            <w:pPr>
              <w:pStyle w:val="Pa6"/>
              <w:rPr>
                <w:rFonts w:cs="Myriad Pro"/>
                <w:color w:val="000000"/>
                <w:sz w:val="20"/>
                <w:szCs w:val="20"/>
              </w:rPr>
            </w:pPr>
            <w:r w:rsidRPr="0025135C">
              <w:rPr>
                <w:rStyle w:val="A4"/>
                <w:bCs w:val="0"/>
              </w:rPr>
              <w:t xml:space="preserve">Comprehend and Respond </w:t>
            </w:r>
          </w:p>
          <w:p w:rsidR="00D01942" w:rsidRPr="0025135C" w:rsidRDefault="00D01942" w:rsidP="0025135C">
            <w:pPr>
              <w:pStyle w:val="Pa6"/>
              <w:rPr>
                <w:rFonts w:cs="Myriad Pro"/>
                <w:color w:val="000000"/>
                <w:sz w:val="20"/>
                <w:szCs w:val="20"/>
              </w:rPr>
            </w:pPr>
            <w:r w:rsidRPr="0025135C">
              <w:rPr>
                <w:rStyle w:val="A4"/>
                <w:bCs w:val="0"/>
              </w:rPr>
              <w:t xml:space="preserve">When viewing, listening, or reading, grade 2 students: </w:t>
            </w:r>
          </w:p>
        </w:tc>
        <w:tc>
          <w:tcPr>
            <w:tcW w:w="3245" w:type="dxa"/>
            <w:tcBorders>
              <w:top w:val="nil"/>
            </w:tcBorders>
          </w:tcPr>
          <w:p w:rsidR="00D01942" w:rsidRPr="0025135C" w:rsidRDefault="00D01942" w:rsidP="0025135C">
            <w:pPr>
              <w:pStyle w:val="Pa6"/>
              <w:rPr>
                <w:rFonts w:cs="Myriad Pro"/>
                <w:color w:val="000000"/>
                <w:sz w:val="20"/>
                <w:szCs w:val="20"/>
              </w:rPr>
            </w:pPr>
            <w:r w:rsidRPr="0025135C">
              <w:rPr>
                <w:rStyle w:val="A4"/>
                <w:bCs w:val="0"/>
              </w:rPr>
              <w:t xml:space="preserve">Comprehend and Respond </w:t>
            </w:r>
          </w:p>
          <w:p w:rsidR="00D01942" w:rsidRPr="0025135C" w:rsidRDefault="00D01942" w:rsidP="0025135C">
            <w:pPr>
              <w:pStyle w:val="Pa6"/>
              <w:rPr>
                <w:rFonts w:cs="Myriad Pro"/>
                <w:color w:val="000000"/>
                <w:sz w:val="20"/>
                <w:szCs w:val="20"/>
              </w:rPr>
            </w:pPr>
            <w:r w:rsidRPr="0025135C">
              <w:rPr>
                <w:rStyle w:val="A4"/>
                <w:bCs w:val="0"/>
              </w:rPr>
              <w:t xml:space="preserve">When viewing, listening, or reading, grade 3 students: </w:t>
            </w:r>
          </w:p>
        </w:tc>
        <w:tc>
          <w:tcPr>
            <w:tcW w:w="3245" w:type="dxa"/>
            <w:tcBorders>
              <w:top w:val="nil"/>
            </w:tcBorders>
          </w:tcPr>
          <w:p w:rsidR="00D01942" w:rsidRPr="0025135C" w:rsidRDefault="00D01942" w:rsidP="0025135C">
            <w:pPr>
              <w:pStyle w:val="Pa6"/>
              <w:rPr>
                <w:rFonts w:cs="Myriad Pro"/>
                <w:color w:val="000000"/>
                <w:sz w:val="20"/>
                <w:szCs w:val="20"/>
              </w:rPr>
            </w:pPr>
            <w:r w:rsidRPr="0025135C">
              <w:rPr>
                <w:rStyle w:val="A4"/>
                <w:bCs w:val="0"/>
              </w:rPr>
              <w:t xml:space="preserve">Comprehend and Respond </w:t>
            </w:r>
          </w:p>
          <w:p w:rsidR="00D01942" w:rsidRPr="0025135C" w:rsidRDefault="00D01942" w:rsidP="0025135C">
            <w:pPr>
              <w:pStyle w:val="Pa6"/>
              <w:rPr>
                <w:rFonts w:cs="Myriad Pro"/>
                <w:color w:val="000000"/>
                <w:sz w:val="20"/>
                <w:szCs w:val="20"/>
              </w:rPr>
            </w:pPr>
            <w:r w:rsidRPr="0025135C">
              <w:rPr>
                <w:rStyle w:val="A4"/>
                <w:bCs w:val="0"/>
              </w:rPr>
              <w:t xml:space="preserve">When viewing, listening, or reading, Grade 4 students: </w:t>
            </w:r>
          </w:p>
        </w:tc>
        <w:tc>
          <w:tcPr>
            <w:tcW w:w="2917" w:type="dxa"/>
            <w:tcBorders>
              <w:top w:val="nil"/>
              <w:right w:val="nil"/>
            </w:tcBorders>
          </w:tcPr>
          <w:p w:rsidR="00D01942" w:rsidRPr="0025135C" w:rsidRDefault="00D01942" w:rsidP="0025135C">
            <w:pPr>
              <w:pStyle w:val="Pa6"/>
              <w:rPr>
                <w:rFonts w:cs="Myriad Pro"/>
                <w:color w:val="000000"/>
                <w:sz w:val="20"/>
                <w:szCs w:val="20"/>
              </w:rPr>
            </w:pPr>
            <w:r w:rsidRPr="0025135C">
              <w:rPr>
                <w:rStyle w:val="A4"/>
                <w:bCs w:val="0"/>
              </w:rPr>
              <w:t xml:space="preserve">Comprehend and Respond </w:t>
            </w:r>
          </w:p>
          <w:p w:rsidR="00D01942" w:rsidRPr="0073777B" w:rsidRDefault="00D01942" w:rsidP="0073777B">
            <w:pPr>
              <w:pStyle w:val="Pa6"/>
              <w:rPr>
                <w:rFonts w:cs="Myriad Pro"/>
                <w:b/>
                <w:color w:val="000000"/>
                <w:sz w:val="20"/>
                <w:szCs w:val="20"/>
              </w:rPr>
            </w:pPr>
            <w:r w:rsidRPr="0025135C">
              <w:rPr>
                <w:rStyle w:val="A4"/>
                <w:bCs w:val="0"/>
              </w:rPr>
              <w:t xml:space="preserve">When viewing, listening, or reading, Grade 5 students: </w:t>
            </w:r>
          </w:p>
        </w:tc>
        <w:tc>
          <w:tcPr>
            <w:tcW w:w="1833" w:type="dxa"/>
          </w:tcPr>
          <w:p w:rsidR="00D01942" w:rsidRDefault="00D01942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>Page 2</w:t>
            </w:r>
          </w:p>
        </w:tc>
      </w:tr>
      <w:tr w:rsidR="00D01942" w:rsidTr="001F588C">
        <w:trPr>
          <w:gridAfter w:val="1"/>
          <w:wAfter w:w="1833" w:type="dxa"/>
          <w:trHeight w:val="952"/>
        </w:trPr>
        <w:tc>
          <w:tcPr>
            <w:tcW w:w="3321" w:type="dxa"/>
          </w:tcPr>
          <w:p w:rsidR="00D01942" w:rsidRDefault="00D01942">
            <w:pPr>
              <w:pStyle w:val="Pa6"/>
              <w:spacing w:after="100"/>
              <w:rPr>
                <w:rFonts w:cs="Myriad Pro Light"/>
                <w:b/>
                <w:bCs/>
                <w:color w:val="000000"/>
                <w:sz w:val="20"/>
                <w:szCs w:val="20"/>
              </w:rPr>
            </w:pPr>
          </w:p>
          <w:p w:rsidR="00D01942" w:rsidRDefault="00D01942">
            <w:pPr>
              <w:pStyle w:val="Pa6"/>
              <w:spacing w:after="100"/>
              <w:rPr>
                <w:rFonts w:cs="Myriad Pro Light"/>
                <w:color w:val="000000"/>
                <w:sz w:val="20"/>
                <w:szCs w:val="20"/>
              </w:rPr>
            </w:pPr>
            <w:r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Semantic/Lexical/Morphological </w:t>
            </w:r>
          </w:p>
          <w:p w:rsidR="00D01942" w:rsidRDefault="00D01942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The lexicon of a language includes all the words or vocabulary of that language that are used or understood by a particular person or groups. Words can also be studied for their meaningful parts or morphemes. </w:t>
            </w:r>
          </w:p>
        </w:tc>
        <w:tc>
          <w:tcPr>
            <w:tcW w:w="3321" w:type="dxa"/>
          </w:tcPr>
          <w:p w:rsidR="00D01942" w:rsidRDefault="00D01942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  <w:p w:rsidR="00D01942" w:rsidRDefault="00D01942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  <w:p w:rsidR="00D01942" w:rsidRDefault="00D01942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Recognize 100 of the most commonly used words in print; use context, visual cues (e.g., pictures and illustrations), and sound patterns (e.g., rhyming words); recognize common antonyms and synonyms.  </w:t>
            </w:r>
          </w:p>
        </w:tc>
        <w:tc>
          <w:tcPr>
            <w:tcW w:w="3248" w:type="dxa"/>
          </w:tcPr>
          <w:p w:rsidR="00D01942" w:rsidRDefault="00D01942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D01942" w:rsidRDefault="00D01942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D01942" w:rsidRDefault="00D01942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Recognize basic sight vocabulary (e.g., 250 basic words); use context clues; use knowledge of simple prefixes (e.g., un-) and suffixes (e.g.,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ed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, -s,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est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 xml:space="preserve">) and recognize the same words in different forms (e.g., plays, played, playing); use individual words to predict meaning of compound words; recognize word play. </w:t>
            </w:r>
          </w:p>
        </w:tc>
        <w:tc>
          <w:tcPr>
            <w:tcW w:w="3245" w:type="dxa"/>
          </w:tcPr>
          <w:p w:rsidR="00D01942" w:rsidRDefault="00D01942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D01942" w:rsidRDefault="00D01942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D01942" w:rsidRDefault="00D01942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Use a variety of strategies to determine the meaning of unfamiliar words (e.g., use context, break into syllables, recognize common word families, use the sound of the word, use a dictionary); use common prefixes (e.g., -un, -re), suffixes (e.g.,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ed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est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ful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 xml:space="preserve">), understand frequently used specialized terms in subject areas; recognize word play </w:t>
            </w:r>
          </w:p>
        </w:tc>
        <w:tc>
          <w:tcPr>
            <w:tcW w:w="3245" w:type="dxa"/>
          </w:tcPr>
          <w:p w:rsidR="00D01942" w:rsidRDefault="00D01942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D01942" w:rsidRDefault="00D01942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D01942" w:rsidRDefault="00D01942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 patterns of word structure to determine pronunciation and meaning (e.g., relation-ship); identify root words and use them to determine the meaning of unfamiliar words; identify synonyms and antonyms for familiar words; use a dictionary to determine the meanings of words </w:t>
            </w:r>
          </w:p>
        </w:tc>
        <w:tc>
          <w:tcPr>
            <w:tcW w:w="2917" w:type="dxa"/>
          </w:tcPr>
          <w:p w:rsidR="00D01942" w:rsidRDefault="00D01942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D01942" w:rsidRDefault="00D01942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D01942" w:rsidRDefault="00D01942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Use a word attack strategy (e.g., context, structure, sound, and reference) as well as knowledge of root words, prefixes, and suffixes to determine the pronunciation (e.g., n-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ation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 xml:space="preserve">) and meaning of unfamiliar words. </w:t>
            </w:r>
          </w:p>
        </w:tc>
      </w:tr>
    </w:tbl>
    <w:p w:rsidR="00160ABC" w:rsidRDefault="00160ABC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97"/>
        <w:gridCol w:w="3297"/>
        <w:gridCol w:w="3030"/>
        <w:gridCol w:w="199"/>
        <w:gridCol w:w="2993"/>
        <w:gridCol w:w="172"/>
        <w:gridCol w:w="3094"/>
        <w:gridCol w:w="88"/>
        <w:gridCol w:w="3096"/>
        <w:gridCol w:w="137"/>
      </w:tblGrid>
      <w:tr w:rsidR="0025135C" w:rsidTr="00B6470B">
        <w:trPr>
          <w:trHeight w:val="2072"/>
        </w:trPr>
        <w:tc>
          <w:tcPr>
            <w:tcW w:w="3297" w:type="dxa"/>
          </w:tcPr>
          <w:p w:rsidR="0025135C" w:rsidRDefault="0025135C">
            <w:pPr>
              <w:pStyle w:val="Pa6"/>
              <w:spacing w:after="100"/>
              <w:rPr>
                <w:rFonts w:cs="Myriad Pro Light"/>
                <w:color w:val="000000"/>
                <w:sz w:val="20"/>
                <w:szCs w:val="20"/>
              </w:rPr>
            </w:pPr>
            <w:r>
              <w:rPr>
                <w:rFonts w:cs="Myriad Pro Light"/>
                <w:b/>
                <w:bCs/>
                <w:color w:val="000000"/>
                <w:sz w:val="20"/>
                <w:szCs w:val="20"/>
              </w:rPr>
              <w:t>Phonological/</w:t>
            </w:r>
            <w:proofErr w:type="spellStart"/>
            <w:r>
              <w:rPr>
                <w:rFonts w:cs="Myriad Pro Light"/>
                <w:b/>
                <w:bCs/>
                <w:color w:val="000000"/>
                <w:sz w:val="20"/>
                <w:szCs w:val="20"/>
              </w:rPr>
              <w:t>Graphophonic</w:t>
            </w:r>
            <w:proofErr w:type="spellEnd"/>
            <w:r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5135C" w:rsidRDefault="0025135C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Graphophonics</w:t>
            </w:r>
            <w:proofErr w:type="spellEnd"/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is the study of the relationship between the symbols and sounds of a language and includes letter or sound relationships and patterns. </w:t>
            </w:r>
          </w:p>
        </w:tc>
        <w:tc>
          <w:tcPr>
            <w:tcW w:w="3297" w:type="dxa"/>
          </w:tcPr>
          <w:p w:rsidR="0073777B" w:rsidRDefault="0073777B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Count phonemes and segment or blend phonemes at the beginning of words containing one, two, and three phonemes to make new words; recognize and use the alphabet; recognize letter/sound relationships and patterns in words; identify all consonant sounds in spoken words; use phonics to help decode individual words including using basic phonetic analysis and consonant sounds in some blends and digraphs (e.g., </w:t>
            </w:r>
            <w:proofErr w:type="spellStart"/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bl</w:t>
            </w:r>
            <w:proofErr w:type="spellEnd"/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br</w:t>
            </w:r>
            <w:proofErr w:type="spellEnd"/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th</w:t>
            </w:r>
            <w:proofErr w:type="spellEnd"/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wh</w:t>
            </w:r>
            <w:proofErr w:type="spellEnd"/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) in regular one-syllable words; recognize rhyming words; recognize features of words including word patterns and differences. </w:t>
            </w:r>
          </w:p>
        </w:tc>
        <w:tc>
          <w:tcPr>
            <w:tcW w:w="3229" w:type="dxa"/>
            <w:gridSpan w:val="2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Use phonics to decode individual words; segment all sounds of a word (including sound clusters such as “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sk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,” “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ch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,” “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 xml:space="preserve">”) into individual sounds; delete beginning or ending sounds and tell the remaining word; decode individual words and sounds heard in multi-syllabic words; recognize features of words including possessives, double vowels, multi-syllabic words; recognize long vowel sounds, contractions, “y” as a vowel sound, consonant clusters, consonant digraphs, double vowels </w:t>
            </w:r>
          </w:p>
        </w:tc>
        <w:tc>
          <w:tcPr>
            <w:tcW w:w="3165" w:type="dxa"/>
            <w:gridSpan w:val="2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Recognize features of words including R-vowel patterns, silent consonants, digraphs, compound words, contractions, prefixes, irregular plurals (e.g., f to v and y to 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); easy multi-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syllablic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 xml:space="preserve"> words. </w:t>
            </w:r>
          </w:p>
        </w:tc>
        <w:tc>
          <w:tcPr>
            <w:tcW w:w="3182" w:type="dxa"/>
            <w:gridSpan w:val="2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Use phonics to say words correctly; recognize features of words including vowel patterns in multi-syllabic words, double consonants, contractions, consonant digraphs, word endings, prefixes (e.g., anti-, non-, con-, tri- de-), suffixes (e.g.,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ness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ment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, -able,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 xml:space="preserve">, -ant), and plural possessives. </w:t>
            </w:r>
          </w:p>
        </w:tc>
        <w:tc>
          <w:tcPr>
            <w:tcW w:w="3233" w:type="dxa"/>
            <w:gridSpan w:val="2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 phonics to decode and say words correctly; recognize features of words including vowel patterns in multi-syllabic words, double consonants, word endings, prefixes (e.g., 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dis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 xml:space="preserve">-, in-, un-, 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-, non-, anti-, pro-, pre-), suffixes (e.g.,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ish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en,-ance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 xml:space="preserve">), and plural possessives. </w:t>
            </w:r>
          </w:p>
        </w:tc>
      </w:tr>
      <w:tr w:rsidR="0025135C" w:rsidTr="000B4D57">
        <w:trPr>
          <w:gridAfter w:val="1"/>
          <w:wAfter w:w="137" w:type="dxa"/>
          <w:trHeight w:val="2072"/>
        </w:trPr>
        <w:tc>
          <w:tcPr>
            <w:tcW w:w="3297" w:type="dxa"/>
            <w:tcBorders>
              <w:left w:val="nil"/>
              <w:bottom w:val="nil"/>
            </w:tcBorders>
          </w:tcPr>
          <w:p w:rsidR="0073777B" w:rsidRDefault="0073777B">
            <w:pPr>
              <w:pStyle w:val="Pa6"/>
              <w:spacing w:after="100"/>
              <w:rPr>
                <w:rFonts w:cs="Myriad Pro Light"/>
                <w:b/>
                <w:bCs/>
                <w:color w:val="000000"/>
                <w:sz w:val="20"/>
                <w:szCs w:val="20"/>
              </w:rPr>
            </w:pPr>
          </w:p>
          <w:p w:rsidR="0025135C" w:rsidRPr="00160ABC" w:rsidRDefault="0025135C">
            <w:pPr>
              <w:pStyle w:val="Pa6"/>
              <w:spacing w:after="100"/>
              <w:rPr>
                <w:rFonts w:cs="Myriad Pro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Other Cues and Conventions </w:t>
            </w:r>
          </w:p>
          <w:p w:rsidR="0025135C" w:rsidRPr="00160ABC" w:rsidRDefault="0025135C">
            <w:pPr>
              <w:pStyle w:val="Pa6"/>
              <w:spacing w:after="100"/>
              <w:rPr>
                <w:rFonts w:cs="Myriad Pro Light"/>
                <w:b/>
                <w:bCs/>
                <w:color w:val="000000"/>
                <w:sz w:val="20"/>
                <w:szCs w:val="20"/>
              </w:rPr>
            </w:pPr>
            <w:r w:rsidRPr="00160ABC">
              <w:rPr>
                <w:rFonts w:cs="Myriad Pro Light"/>
                <w:b/>
                <w:bCs/>
                <w:color w:val="000000"/>
                <w:sz w:val="20"/>
                <w:szCs w:val="20"/>
              </w:rPr>
              <w:t xml:space="preserve">Other cues and conventions are also found in communication acts and include such elements as graphics, layout, colour, sound, movement, font choices, and handwriting. </w:t>
            </w:r>
          </w:p>
        </w:tc>
        <w:tc>
          <w:tcPr>
            <w:tcW w:w="3297" w:type="dxa"/>
            <w:tcBorders>
              <w:bottom w:val="nil"/>
              <w:right w:val="nil"/>
            </w:tcBorders>
          </w:tcPr>
          <w:p w:rsidR="0073777B" w:rsidRDefault="0073777B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  <w:p w:rsidR="0073777B" w:rsidRDefault="0073777B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Recognize key features such as captions, illustrations, colours, sizes, and movements in different types of texts </w:t>
            </w:r>
          </w:p>
        </w:tc>
        <w:tc>
          <w:tcPr>
            <w:tcW w:w="3030" w:type="dxa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Interpret and respond appropriately to non-verbal cues including facial expression and gestures; use and interpret conventions of texts (e.g., pictures, graphics, diagrams, bold type); recognize and use discernable features such as labels, headings, sounds, colours. </w:t>
            </w:r>
          </w:p>
        </w:tc>
        <w:tc>
          <w:tcPr>
            <w:tcW w:w="3192" w:type="dxa"/>
            <w:gridSpan w:val="2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Recognize and use key features in text including colour, bold typeface, music, and sound effects. </w:t>
            </w:r>
          </w:p>
        </w:tc>
        <w:tc>
          <w:tcPr>
            <w:tcW w:w="3266" w:type="dxa"/>
            <w:gridSpan w:val="2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Recognize the characteristics of different media (e.g., print, television, digital) and recognize the key elements in visual texts (e.g., sections in magazine). </w:t>
            </w:r>
          </w:p>
        </w:tc>
        <w:tc>
          <w:tcPr>
            <w:tcW w:w="3184" w:type="dxa"/>
            <w:gridSpan w:val="2"/>
          </w:tcPr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73777B" w:rsidRDefault="0073777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25135C" w:rsidRDefault="0025135C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Recognize and use the characteristics of different media (e.g., photograph, television, digital) and recognize the key elements in visual and multimedia texts (e.g., sections in magazine). </w:t>
            </w:r>
          </w:p>
        </w:tc>
      </w:tr>
    </w:tbl>
    <w:p w:rsidR="00160ABC" w:rsidRDefault="00160ABC" w:rsidP="006947E1"/>
    <w:sectPr w:rsidR="00160ABC" w:rsidSect="006947E1">
      <w:pgSz w:w="24480" w:h="15840" w:orient="landscape" w:code="17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6E" w:rsidRDefault="009C716E" w:rsidP="006947E1">
      <w:pPr>
        <w:spacing w:after="0" w:line="240" w:lineRule="auto"/>
      </w:pPr>
      <w:r>
        <w:separator/>
      </w:r>
    </w:p>
  </w:endnote>
  <w:endnote w:type="continuationSeparator" w:id="0">
    <w:p w:rsidR="009C716E" w:rsidRDefault="009C716E" w:rsidP="0069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6E" w:rsidRDefault="009C716E" w:rsidP="006947E1">
      <w:pPr>
        <w:spacing w:after="0" w:line="240" w:lineRule="auto"/>
      </w:pPr>
      <w:r>
        <w:separator/>
      </w:r>
    </w:p>
  </w:footnote>
  <w:footnote w:type="continuationSeparator" w:id="0">
    <w:p w:rsidR="009C716E" w:rsidRDefault="009C716E" w:rsidP="00694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ABC"/>
    <w:rsid w:val="00160ABC"/>
    <w:rsid w:val="0025135C"/>
    <w:rsid w:val="00673817"/>
    <w:rsid w:val="006947E1"/>
    <w:rsid w:val="00721E84"/>
    <w:rsid w:val="0073777B"/>
    <w:rsid w:val="009847AF"/>
    <w:rsid w:val="009C716E"/>
    <w:rsid w:val="00AA2ED3"/>
    <w:rsid w:val="00D01942"/>
    <w:rsid w:val="00F6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160ABC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160AB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4">
    <w:name w:val="A4"/>
    <w:uiPriority w:val="99"/>
    <w:rsid w:val="00160ABC"/>
    <w:rPr>
      <w:rFonts w:cs="Myriad Pro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9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7E1"/>
  </w:style>
  <w:style w:type="paragraph" w:styleId="Footer">
    <w:name w:val="footer"/>
    <w:basedOn w:val="Normal"/>
    <w:link w:val="FooterChar"/>
    <w:uiPriority w:val="99"/>
    <w:semiHidden/>
    <w:unhideWhenUsed/>
    <w:rsid w:val="0069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6541-7E3B-4AD5-83A5-36EEA313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virginia.mireau</dc:creator>
  <cp:keywords/>
  <dc:description/>
  <cp:lastModifiedBy>virginia.mireau</cp:lastModifiedBy>
  <cp:revision>2</cp:revision>
  <cp:lastPrinted>2011-10-13T19:43:00Z</cp:lastPrinted>
  <dcterms:created xsi:type="dcterms:W3CDTF">2011-10-13T19:48:00Z</dcterms:created>
  <dcterms:modified xsi:type="dcterms:W3CDTF">2011-10-13T19:48:00Z</dcterms:modified>
</cp:coreProperties>
</file>