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01" w:rsidRDefault="007B3F01" w:rsidP="007B3F01">
      <w:pPr>
        <w:pBdr>
          <w:top w:val="single" w:sz="4" w:space="1" w:color="auto"/>
          <w:left w:val="single" w:sz="4" w:space="4" w:color="auto"/>
          <w:bottom w:val="single" w:sz="4" w:space="1" w:color="auto"/>
          <w:right w:val="single" w:sz="4" w:space="4" w:color="auto"/>
        </w:pBdr>
        <w:rPr>
          <w:rFonts w:ascii="ShowcardGothic-Reg" w:hAnsi="ShowcardGothic-Reg" w:cs="ShowcardGothic-Reg"/>
          <w:sz w:val="38"/>
          <w:szCs w:val="38"/>
        </w:rPr>
      </w:pPr>
      <w:r>
        <w:rPr>
          <w:rFonts w:ascii="ShowcardGothic-Reg" w:hAnsi="ShowcardGothic-Reg" w:cs="ShowcardGothic-Reg"/>
          <w:sz w:val="38"/>
          <w:szCs w:val="38"/>
        </w:rPr>
        <w:t>Inferring about Characters</w:t>
      </w:r>
    </w:p>
    <w:p w:rsidR="007B3F01" w:rsidRDefault="007B3F01" w:rsidP="007B3F01">
      <w:pPr>
        <w:autoSpaceDE w:val="0"/>
        <w:autoSpaceDN w:val="0"/>
        <w:adjustRightInd w:val="0"/>
        <w:spacing w:line="240" w:lineRule="auto"/>
        <w:rPr>
          <w:rFonts w:ascii="BookAntiqua" w:hAnsi="BookAntiqua" w:cs="BookAntiqua"/>
          <w:sz w:val="24"/>
          <w:szCs w:val="24"/>
        </w:rPr>
      </w:pPr>
      <w:r>
        <w:rPr>
          <w:rFonts w:ascii="BookAntiqua" w:hAnsi="BookAntiqua" w:cs="BookAntiqua"/>
          <w:sz w:val="24"/>
          <w:szCs w:val="24"/>
        </w:rPr>
        <w:t>When making inferences about characters, there are several areas the reader must examine — the character’s physical traits, inner traits, dialogue, and actions. Students should list examples from the text that fit each of these areas, and then make inferences about the character based on what they have listed. Following are some things to analyze for each area:</w:t>
      </w:r>
    </w:p>
    <w:p w:rsidR="007B3F01" w:rsidRDefault="007B3F01" w:rsidP="007B3F01">
      <w:pPr>
        <w:autoSpaceDE w:val="0"/>
        <w:autoSpaceDN w:val="0"/>
        <w:adjustRightInd w:val="0"/>
        <w:spacing w:line="240" w:lineRule="auto"/>
        <w:rPr>
          <w:rFonts w:ascii="BookAntiqua-Bold" w:hAnsi="BookAntiqua-Bold" w:cs="BookAntiqua-Bold"/>
          <w:b/>
          <w:bCs/>
          <w:sz w:val="24"/>
          <w:szCs w:val="24"/>
        </w:rPr>
      </w:pPr>
      <w:r>
        <w:rPr>
          <w:rFonts w:ascii="BookAntiqua-Bold" w:hAnsi="BookAntiqua-Bold" w:cs="BookAntiqua-Bold"/>
          <w:b/>
          <w:bCs/>
          <w:sz w:val="24"/>
          <w:szCs w:val="24"/>
        </w:rPr>
        <w:t>Physical Traits</w:t>
      </w:r>
    </w:p>
    <w:p w:rsidR="007B3F01" w:rsidRDefault="007B3F01" w:rsidP="007B3F01">
      <w:pPr>
        <w:autoSpaceDE w:val="0"/>
        <w:autoSpaceDN w:val="0"/>
        <w:adjustRightInd w:val="0"/>
        <w:spacing w:line="240" w:lineRule="auto"/>
        <w:rPr>
          <w:rFonts w:ascii="BookAntiqua" w:hAnsi="BookAntiqua" w:cs="BookAntiqua"/>
          <w:sz w:val="24"/>
          <w:szCs w:val="24"/>
        </w:rPr>
      </w:pPr>
      <w:r>
        <w:rPr>
          <w:rFonts w:ascii="BookAntiqua" w:hAnsi="BookAntiqua" w:cs="BookAntiqua"/>
          <w:sz w:val="24"/>
          <w:szCs w:val="24"/>
        </w:rPr>
        <w:t>Words used to describe facial expression, body, clothing, hair, etc.</w:t>
      </w:r>
    </w:p>
    <w:p w:rsidR="007B3F01" w:rsidRDefault="007B3F01" w:rsidP="007B3F01">
      <w:pPr>
        <w:autoSpaceDE w:val="0"/>
        <w:autoSpaceDN w:val="0"/>
        <w:adjustRightInd w:val="0"/>
        <w:spacing w:line="240" w:lineRule="auto"/>
        <w:rPr>
          <w:rFonts w:ascii="BookAntiqua-Bold" w:hAnsi="BookAntiqua-Bold" w:cs="BookAntiqua-Bold"/>
          <w:b/>
          <w:bCs/>
          <w:sz w:val="24"/>
          <w:szCs w:val="24"/>
        </w:rPr>
      </w:pPr>
      <w:r>
        <w:rPr>
          <w:rFonts w:ascii="BookAntiqua-Bold" w:hAnsi="BookAntiqua-Bold" w:cs="BookAntiqua-Bold"/>
          <w:b/>
          <w:bCs/>
          <w:sz w:val="24"/>
          <w:szCs w:val="24"/>
        </w:rPr>
        <w:t>Inner Traits</w:t>
      </w:r>
    </w:p>
    <w:p w:rsidR="007B3F01" w:rsidRDefault="007B3F01" w:rsidP="007B3F01">
      <w:pPr>
        <w:autoSpaceDE w:val="0"/>
        <w:autoSpaceDN w:val="0"/>
        <w:adjustRightInd w:val="0"/>
        <w:spacing w:line="240" w:lineRule="auto"/>
        <w:rPr>
          <w:rFonts w:ascii="BookAntiqua" w:hAnsi="BookAntiqua" w:cs="BookAntiqua"/>
          <w:sz w:val="24"/>
          <w:szCs w:val="24"/>
        </w:rPr>
      </w:pPr>
      <w:r>
        <w:rPr>
          <w:rFonts w:ascii="BookAntiqua" w:hAnsi="BookAntiqua" w:cs="BookAntiqua"/>
          <w:sz w:val="24"/>
          <w:szCs w:val="24"/>
        </w:rPr>
        <w:t>Words that tell what the character is thinking (words not spoken) that reflect mood, feelings, reactions and personality</w:t>
      </w:r>
    </w:p>
    <w:p w:rsidR="007B3F01" w:rsidRDefault="007B3F01" w:rsidP="007B3F01">
      <w:pPr>
        <w:autoSpaceDE w:val="0"/>
        <w:autoSpaceDN w:val="0"/>
        <w:adjustRightInd w:val="0"/>
        <w:spacing w:line="240" w:lineRule="auto"/>
        <w:rPr>
          <w:rFonts w:ascii="BookAntiqua-Bold" w:hAnsi="BookAntiqua-Bold" w:cs="BookAntiqua-Bold"/>
          <w:b/>
          <w:bCs/>
          <w:sz w:val="24"/>
          <w:szCs w:val="24"/>
        </w:rPr>
      </w:pPr>
      <w:r>
        <w:rPr>
          <w:rFonts w:ascii="BookAntiqua-Bold" w:hAnsi="BookAntiqua-Bold" w:cs="BookAntiqua-Bold"/>
          <w:b/>
          <w:bCs/>
          <w:sz w:val="24"/>
          <w:szCs w:val="24"/>
        </w:rPr>
        <w:t>Dialogue</w:t>
      </w:r>
    </w:p>
    <w:p w:rsidR="007B3F01" w:rsidRDefault="007B3F01" w:rsidP="007B3F01">
      <w:pPr>
        <w:autoSpaceDE w:val="0"/>
        <w:autoSpaceDN w:val="0"/>
        <w:adjustRightInd w:val="0"/>
        <w:spacing w:line="240" w:lineRule="auto"/>
        <w:rPr>
          <w:rFonts w:ascii="BookAntiqua" w:hAnsi="BookAntiqua" w:cs="BookAntiqua"/>
          <w:sz w:val="24"/>
          <w:szCs w:val="24"/>
        </w:rPr>
      </w:pPr>
      <w:r>
        <w:rPr>
          <w:rFonts w:ascii="BookAntiqua" w:hAnsi="BookAntiqua" w:cs="BookAntiqua"/>
          <w:sz w:val="24"/>
          <w:szCs w:val="24"/>
        </w:rPr>
        <w:t>Consider dialogue between two characters. What does it reveal about a character’s thoughts? What do you think the character is thinking when he/she says those words?</w:t>
      </w:r>
    </w:p>
    <w:p w:rsidR="007B3F01" w:rsidRDefault="007B3F01" w:rsidP="007B3F01">
      <w:pPr>
        <w:autoSpaceDE w:val="0"/>
        <w:autoSpaceDN w:val="0"/>
        <w:adjustRightInd w:val="0"/>
        <w:spacing w:line="240" w:lineRule="auto"/>
        <w:rPr>
          <w:rFonts w:ascii="BookAntiqua-Bold" w:hAnsi="BookAntiqua-Bold" w:cs="BookAntiqua-Bold"/>
          <w:b/>
          <w:bCs/>
          <w:sz w:val="24"/>
          <w:szCs w:val="24"/>
        </w:rPr>
      </w:pPr>
      <w:r>
        <w:rPr>
          <w:rFonts w:ascii="BookAntiqua-Bold" w:hAnsi="BookAntiqua-Bold" w:cs="BookAntiqua-Bold"/>
          <w:b/>
          <w:bCs/>
          <w:sz w:val="24"/>
          <w:szCs w:val="24"/>
        </w:rPr>
        <w:t>Action</w:t>
      </w:r>
    </w:p>
    <w:p w:rsidR="007B3F01" w:rsidRDefault="007B3F01" w:rsidP="007B3F01">
      <w:pPr>
        <w:autoSpaceDE w:val="0"/>
        <w:autoSpaceDN w:val="0"/>
        <w:adjustRightInd w:val="0"/>
        <w:spacing w:line="240" w:lineRule="auto"/>
        <w:rPr>
          <w:rFonts w:ascii="BookAntiqua" w:hAnsi="BookAntiqua" w:cs="BookAntiqua"/>
          <w:sz w:val="24"/>
          <w:szCs w:val="24"/>
        </w:rPr>
      </w:pPr>
      <w:r>
        <w:rPr>
          <w:rFonts w:ascii="BookAntiqua" w:hAnsi="BookAntiqua" w:cs="BookAntiqua"/>
          <w:sz w:val="24"/>
          <w:szCs w:val="24"/>
        </w:rPr>
        <w:t>Review the character’s actions and think about why the character acts as he does, predict what the character might do next, think about adjectives or phrases that describe the character’s behavior.</w:t>
      </w:r>
    </w:p>
    <w:p w:rsidR="00173C0D" w:rsidRDefault="007B3F01">
      <w:bookmarkStart w:id="0" w:name="_GoBack"/>
      <w:r>
        <w:rPr>
          <w:noProof/>
          <w:color w:val="0000FF"/>
        </w:rPr>
        <w:drawing>
          <wp:anchor distT="0" distB="0" distL="114300" distR="114300" simplePos="0" relativeHeight="251658240" behindDoc="1" locked="0" layoutInCell="1" allowOverlap="1">
            <wp:simplePos x="0" y="0"/>
            <wp:positionH relativeFrom="column">
              <wp:posOffset>1162050</wp:posOffset>
            </wp:positionH>
            <wp:positionV relativeFrom="paragraph">
              <wp:posOffset>169545</wp:posOffset>
            </wp:positionV>
            <wp:extent cx="3743325" cy="3743325"/>
            <wp:effectExtent l="19050" t="19050" r="28575" b="28575"/>
            <wp:wrapTight wrapText="bothSides">
              <wp:wrapPolygon edited="0">
                <wp:start x="-110" y="-110"/>
                <wp:lineTo x="-110" y="21655"/>
                <wp:lineTo x="21655" y="21655"/>
                <wp:lineTo x="21655" y="-110"/>
                <wp:lineTo x="-110" y="-110"/>
              </wp:wrapPolygon>
            </wp:wrapTight>
            <wp:docPr id="1" name="Picture 1" descr="http://payload136.cargocollective.com/1/3/100618/5038007/valeriejar_storybook_a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yload136.cargocollective.com/1/3/100618/5038007/valeriejar_storybook_alic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3325" cy="37433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bookmarkEnd w:id="0"/>
    </w:p>
    <w:sectPr w:rsidR="0017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Gothic-Reg">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01"/>
    <w:rsid w:val="00173C0D"/>
    <w:rsid w:val="002F6AC5"/>
    <w:rsid w:val="007B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a/url?sa=i&amp;rct=j&amp;q=&amp;esrc=s&amp;frm=1&amp;source=images&amp;cd=&amp;cad=rja&amp;docid=lYquTHA9NM1-NM&amp;tbnid=9_DfUzqBrSa-BM:&amp;ved=0CAUQjRw&amp;url=http://valeriejar.com/Storybook-Characters&amp;ei=B19LUc-rG83ryAGBqYDQBw&amp;bvm=bv.44158598,d.aWc&amp;psig=AFQjCNGofCzo6x0qdPe1zbRxB96r_NqfOw&amp;ust=13639803688126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Barclay</dc:creator>
  <cp:lastModifiedBy>Shirley Barclay</cp:lastModifiedBy>
  <cp:revision>2</cp:revision>
  <dcterms:created xsi:type="dcterms:W3CDTF">2013-03-21T19:25:00Z</dcterms:created>
  <dcterms:modified xsi:type="dcterms:W3CDTF">2013-03-21T21:00:00Z</dcterms:modified>
</cp:coreProperties>
</file>