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67" w:rsidRDefault="00925767" w:rsidP="00925767">
      <w:pPr>
        <w:pBdr>
          <w:top w:val="single" w:sz="4" w:space="1" w:color="auto"/>
          <w:left w:val="single" w:sz="4" w:space="4" w:color="auto"/>
          <w:bottom w:val="single" w:sz="4" w:space="1" w:color="auto"/>
          <w:right w:val="single" w:sz="4" w:space="4" w:color="auto"/>
        </w:pBdr>
        <w:rPr>
          <w:rFonts w:ascii="ShowcardGothic-Reg" w:hAnsi="ShowcardGothic-Reg" w:cs="ShowcardGothic-Reg"/>
          <w:sz w:val="38"/>
          <w:szCs w:val="38"/>
        </w:rPr>
      </w:pPr>
      <w:r>
        <w:rPr>
          <w:rFonts w:ascii="ShowcardGothic-Reg" w:hAnsi="ShowcardGothic-Reg" w:cs="ShowcardGothic-Reg"/>
          <w:sz w:val="38"/>
          <w:szCs w:val="38"/>
        </w:rPr>
        <w:t>Quick Inference Activities</w:t>
      </w:r>
    </w:p>
    <w:p w:rsidR="00925767" w:rsidRDefault="00925767" w:rsidP="00925767">
      <w:pPr>
        <w:autoSpaceDE w:val="0"/>
        <w:autoSpaceDN w:val="0"/>
        <w:adjustRightInd w:val="0"/>
        <w:spacing w:line="240" w:lineRule="auto"/>
        <w:rPr>
          <w:rFonts w:ascii="BookAntiqua-Bold" w:hAnsi="BookAntiqua-Bold" w:cs="BookAntiqua-Bold"/>
          <w:b/>
          <w:bCs/>
          <w:sz w:val="24"/>
          <w:szCs w:val="24"/>
        </w:rPr>
      </w:pPr>
      <w:r>
        <w:rPr>
          <w:rFonts w:ascii="BookAntiqua-Bold" w:hAnsi="BookAntiqua-Bold" w:cs="BookAntiqua-Bold"/>
          <w:b/>
          <w:bCs/>
          <w:sz w:val="24"/>
          <w:szCs w:val="24"/>
        </w:rPr>
        <w:t>Got a few extra minutes? Try these inference activities:</w:t>
      </w:r>
    </w:p>
    <w:p w:rsidR="00925767" w:rsidRDefault="00925767" w:rsidP="00925767">
      <w:pPr>
        <w:autoSpaceDE w:val="0"/>
        <w:autoSpaceDN w:val="0"/>
        <w:adjustRightInd w:val="0"/>
        <w:spacing w:line="240" w:lineRule="auto"/>
        <w:ind w:left="720"/>
        <w:rPr>
          <w:rFonts w:ascii="BookAntiqua" w:hAnsi="BookAntiqua" w:cs="BookAntiqua"/>
          <w:sz w:val="24"/>
          <w:szCs w:val="24"/>
        </w:rPr>
      </w:pPr>
      <w:r>
        <w:rPr>
          <w:rFonts w:ascii="SymbolMT" w:hAnsi="SymbolMT" w:cs="SymbolMT"/>
          <w:sz w:val="20"/>
          <w:szCs w:val="20"/>
        </w:rPr>
        <w:t xml:space="preserve">• </w:t>
      </w:r>
      <w:r>
        <w:rPr>
          <w:rFonts w:ascii="BookAntiqua" w:hAnsi="BookAntiqua" w:cs="BookAntiqua"/>
          <w:sz w:val="24"/>
          <w:szCs w:val="24"/>
        </w:rPr>
        <w:t>Have students fill in empty comic strip bubbles. What might the characters be saying to each other? During discussion, have students support their thinking.</w:t>
      </w:r>
    </w:p>
    <w:p w:rsidR="00925767" w:rsidRDefault="00925767" w:rsidP="00925767">
      <w:pPr>
        <w:autoSpaceDE w:val="0"/>
        <w:autoSpaceDN w:val="0"/>
        <w:adjustRightInd w:val="0"/>
        <w:spacing w:line="240" w:lineRule="auto"/>
        <w:ind w:left="720"/>
        <w:rPr>
          <w:rFonts w:ascii="BookAntiqua" w:hAnsi="BookAntiqua" w:cs="BookAntiqua"/>
          <w:sz w:val="24"/>
          <w:szCs w:val="24"/>
        </w:rPr>
      </w:pPr>
      <w:r>
        <w:rPr>
          <w:rFonts w:ascii="SymbolMT" w:hAnsi="SymbolMT" w:cs="SymbolMT"/>
          <w:sz w:val="20"/>
          <w:szCs w:val="20"/>
        </w:rPr>
        <w:t xml:space="preserve">• </w:t>
      </w:r>
      <w:r>
        <w:rPr>
          <w:rFonts w:ascii="BookAntiqua" w:hAnsi="BookAntiqua" w:cs="BookAntiqua"/>
          <w:sz w:val="24"/>
          <w:szCs w:val="24"/>
        </w:rPr>
        <w:t>Play charades — in order to guess what’s being acted out, students must make inferences.</w:t>
      </w:r>
    </w:p>
    <w:p w:rsidR="00925767" w:rsidRDefault="00925767" w:rsidP="00925767">
      <w:pPr>
        <w:autoSpaceDE w:val="0"/>
        <w:autoSpaceDN w:val="0"/>
        <w:adjustRightInd w:val="0"/>
        <w:spacing w:line="240" w:lineRule="auto"/>
        <w:ind w:left="720"/>
        <w:rPr>
          <w:rFonts w:ascii="BookAntiqua" w:hAnsi="BookAntiqua" w:cs="BookAntiqua"/>
          <w:sz w:val="24"/>
          <w:szCs w:val="24"/>
        </w:rPr>
      </w:pPr>
      <w:r>
        <w:rPr>
          <w:rFonts w:ascii="SymbolMT" w:hAnsi="SymbolMT" w:cs="SymbolMT"/>
          <w:sz w:val="20"/>
          <w:szCs w:val="20"/>
        </w:rPr>
        <w:t xml:space="preserve">• </w:t>
      </w:r>
      <w:r>
        <w:rPr>
          <w:rFonts w:ascii="BookAntiqua" w:hAnsi="BookAntiqua" w:cs="BookAntiqua"/>
          <w:sz w:val="24"/>
          <w:szCs w:val="24"/>
        </w:rPr>
        <w:t>Show students an unfamiliar object and allow them to make inferences about what the object might be — antique tools work well for this.</w:t>
      </w:r>
    </w:p>
    <w:p w:rsidR="00925767" w:rsidRDefault="00925767" w:rsidP="00925767">
      <w:pPr>
        <w:autoSpaceDE w:val="0"/>
        <w:autoSpaceDN w:val="0"/>
        <w:adjustRightInd w:val="0"/>
        <w:spacing w:line="240" w:lineRule="auto"/>
        <w:ind w:left="720"/>
        <w:rPr>
          <w:rFonts w:ascii="BookAntiqua" w:hAnsi="BookAntiqua" w:cs="BookAntiqua"/>
          <w:sz w:val="24"/>
          <w:szCs w:val="24"/>
        </w:rPr>
      </w:pPr>
      <w:r>
        <w:rPr>
          <w:rFonts w:ascii="SymbolMT" w:hAnsi="SymbolMT" w:cs="SymbolMT"/>
          <w:sz w:val="20"/>
          <w:szCs w:val="20"/>
        </w:rPr>
        <w:t xml:space="preserve">• </w:t>
      </w:r>
      <w:r>
        <w:rPr>
          <w:rFonts w:ascii="BookAntiqua" w:hAnsi="BookAntiqua" w:cs="BookAntiqua"/>
          <w:sz w:val="24"/>
          <w:szCs w:val="24"/>
        </w:rPr>
        <w:t>Share a newspaper headline with students and have them infer what the article may be about. Headlines that could have more than one meaning provide interesting practice.  (Safety Experts Say School Bus Passengers Should Be Belted; Miners Refuse to Work after Death, etc.)</w:t>
      </w:r>
    </w:p>
    <w:p w:rsidR="00173C0D" w:rsidRDefault="00925767">
      <w:bookmarkStart w:id="0" w:name="_GoBack"/>
      <w:r>
        <w:rPr>
          <w:noProof/>
          <w:color w:val="0000FF"/>
        </w:rPr>
        <w:drawing>
          <wp:anchor distT="0" distB="0" distL="114300" distR="114300" simplePos="0" relativeHeight="251658240" behindDoc="1" locked="0" layoutInCell="1" allowOverlap="1">
            <wp:simplePos x="0" y="0"/>
            <wp:positionH relativeFrom="column">
              <wp:posOffset>1304925</wp:posOffset>
            </wp:positionH>
            <wp:positionV relativeFrom="paragraph">
              <wp:posOffset>439420</wp:posOffset>
            </wp:positionV>
            <wp:extent cx="3333750" cy="2343150"/>
            <wp:effectExtent l="19050" t="19050" r="19050" b="19050"/>
            <wp:wrapTight wrapText="bothSides">
              <wp:wrapPolygon edited="0">
                <wp:start x="-123" y="-176"/>
                <wp:lineTo x="-123" y="21600"/>
                <wp:lineTo x="21600" y="21600"/>
                <wp:lineTo x="21600" y="-176"/>
                <wp:lineTo x="-123" y="-176"/>
              </wp:wrapPolygon>
            </wp:wrapTight>
            <wp:docPr id="1" name="Picture 1" descr="http://www.examiner.com/sites/default/files/styles/large_lightbox/hash/66/3e/clock_49.jpg?itok=dY0BM3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xaminer.com/sites/default/files/styles/large_lightbox/hash/66/3e/clock_49.jpg?itok=dY0BM3PB">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b="29714"/>
                    <a:stretch/>
                  </pic:blipFill>
                  <pic:spPr bwMode="auto">
                    <a:xfrm>
                      <a:off x="0" y="0"/>
                      <a:ext cx="3333750" cy="23431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17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Gothic-Reg">
    <w:panose1 w:val="00000000000000000000"/>
    <w:charset w:val="00"/>
    <w:family w:val="swiss"/>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67"/>
    <w:rsid w:val="00173C0D"/>
    <w:rsid w:val="0067214A"/>
    <w:rsid w:val="0092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7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a/url?sa=i&amp;rct=j&amp;q=&amp;esrc=s&amp;frm=1&amp;source=images&amp;cd=&amp;cad=rja&amp;docid=jEQhMHzQXNKMdM&amp;tbnid=M33CXRrt4S4L4M:&amp;ved=0CAUQjRw&amp;url=http%3A%2F%2Fwww.examiner.com%2Farticle%2Flast-minute-vegan-game-day-menu-ideas&amp;ei=O2JLUZvEDOSdyQG5lICYCA&amp;psig=AFQjCNEJ2LvKINjcyubdlkhYsNVcobrwCQ&amp;ust=13639812168661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Barclay</dc:creator>
  <cp:lastModifiedBy>Shirley Barclay</cp:lastModifiedBy>
  <cp:revision>2</cp:revision>
  <dcterms:created xsi:type="dcterms:W3CDTF">2013-03-21T19:38:00Z</dcterms:created>
  <dcterms:modified xsi:type="dcterms:W3CDTF">2013-03-21T19:41:00Z</dcterms:modified>
</cp:coreProperties>
</file>