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46" w:rsidRPr="00F97346" w:rsidRDefault="006B21A2" w:rsidP="00F97346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Grade 2 Viewing Rubric</w:t>
      </w:r>
    </w:p>
    <w:tbl>
      <w:tblPr>
        <w:tblStyle w:val="TableGrid"/>
        <w:tblW w:w="0" w:type="auto"/>
        <w:tblLook w:val="04A0"/>
      </w:tblPr>
      <w:tblGrid>
        <w:gridCol w:w="857"/>
        <w:gridCol w:w="2499"/>
        <w:gridCol w:w="5029"/>
        <w:gridCol w:w="4791"/>
      </w:tblGrid>
      <w:tr w:rsidR="00714206" w:rsidRPr="00F97346" w:rsidTr="00714206">
        <w:tc>
          <w:tcPr>
            <w:tcW w:w="857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499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Teacher Rubric</w:t>
            </w:r>
          </w:p>
        </w:tc>
        <w:tc>
          <w:tcPr>
            <w:tcW w:w="5029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  <w:r w:rsidRPr="00F97346">
              <w:rPr>
                <w:b/>
                <w:sz w:val="28"/>
                <w:szCs w:val="28"/>
              </w:rPr>
              <w:t xml:space="preserve">-Friendly </w:t>
            </w:r>
          </w:p>
        </w:tc>
        <w:tc>
          <w:tcPr>
            <w:tcW w:w="4791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Student-Friendly</w:t>
            </w:r>
          </w:p>
        </w:tc>
      </w:tr>
      <w:tr w:rsidR="00714206" w:rsidRPr="00F97346" w:rsidTr="00714206">
        <w:tc>
          <w:tcPr>
            <w:tcW w:w="857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714206" w:rsidRPr="00F97346" w:rsidRDefault="00714206" w:rsidP="006B21A2">
            <w:pPr>
              <w:rPr>
                <w:sz w:val="24"/>
                <w:szCs w:val="24"/>
              </w:rPr>
            </w:pPr>
            <w:r w:rsidRPr="00681CC3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Has a </w:t>
            </w:r>
            <w:r w:rsidRPr="00714206">
              <w:rPr>
                <w:rFonts w:cs="Myriad Pro Light"/>
                <w:b/>
                <w:bCs/>
                <w:color w:val="000000"/>
                <w:sz w:val="20"/>
                <w:szCs w:val="20"/>
                <w:u w:val="single"/>
              </w:rPr>
              <w:t>significant understanding</w:t>
            </w:r>
            <w:r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 and recall of what one views </w:t>
            </w:r>
            <w:r w:rsidRPr="00681CC3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>and provides insightful interpretations with evidence to support responses.</w:t>
            </w:r>
          </w:p>
        </w:tc>
        <w:tc>
          <w:tcPr>
            <w:tcW w:w="5029" w:type="dxa"/>
          </w:tcPr>
          <w:p w:rsidR="00714206" w:rsidRDefault="00714206">
            <w:pPr>
              <w:rPr>
                <w:sz w:val="28"/>
                <w:szCs w:val="28"/>
              </w:rPr>
            </w:pPr>
            <w:r w:rsidRPr="00A447D3">
              <w:rPr>
                <w:b/>
                <w:color w:val="FF0000"/>
                <w:sz w:val="20"/>
                <w:szCs w:val="20"/>
              </w:rPr>
              <w:t>Views</w:t>
            </w:r>
            <w:r w:rsidRPr="00A447D3">
              <w:rPr>
                <w:b/>
                <w:sz w:val="20"/>
                <w:szCs w:val="20"/>
              </w:rPr>
              <w:t xml:space="preserve"> </w:t>
            </w:r>
            <w:r w:rsidRPr="00800DE8">
              <w:rPr>
                <w:sz w:val="20"/>
                <w:szCs w:val="20"/>
              </w:rPr>
              <w:t xml:space="preserve">and explains independently the </w:t>
            </w:r>
            <w:r w:rsidRPr="00A447D3">
              <w:rPr>
                <w:b/>
                <w:sz w:val="20"/>
                <w:szCs w:val="20"/>
              </w:rPr>
              <w:t>key literal</w:t>
            </w:r>
            <w:r w:rsidRPr="00800DE8">
              <w:rPr>
                <w:sz w:val="20"/>
                <w:szCs w:val="20"/>
              </w:rPr>
              <w:t xml:space="preserve"> and inferential ideas, </w:t>
            </w:r>
            <w:r w:rsidRPr="00A447D3">
              <w:rPr>
                <w:b/>
                <w:sz w:val="20"/>
                <w:szCs w:val="20"/>
              </w:rPr>
              <w:t>important details</w:t>
            </w:r>
            <w:r w:rsidRPr="00800DE8">
              <w:rPr>
                <w:sz w:val="20"/>
                <w:szCs w:val="20"/>
              </w:rPr>
              <w:t xml:space="preserve"> (with support from the text), and how </w:t>
            </w:r>
            <w:r w:rsidRPr="00A447D3">
              <w:rPr>
                <w:b/>
                <w:sz w:val="20"/>
                <w:szCs w:val="20"/>
              </w:rPr>
              <w:t>elements</w:t>
            </w:r>
            <w:r w:rsidRPr="00800DE8">
              <w:rPr>
                <w:sz w:val="20"/>
                <w:szCs w:val="20"/>
              </w:rPr>
              <w:t xml:space="preserve"> (such as </w:t>
            </w:r>
            <w:proofErr w:type="spellStart"/>
            <w:r w:rsidRPr="00800DE8">
              <w:rPr>
                <w:sz w:val="20"/>
                <w:szCs w:val="20"/>
              </w:rPr>
              <w:t>colour</w:t>
            </w:r>
            <w:proofErr w:type="spellEnd"/>
            <w:r w:rsidRPr="00800DE8">
              <w:rPr>
                <w:sz w:val="20"/>
                <w:szCs w:val="20"/>
              </w:rPr>
              <w:t>, layout, medium, and special fonts) enhance and add meaning to fictional and informational texts.</w:t>
            </w:r>
          </w:p>
          <w:p w:rsidR="00714206" w:rsidRDefault="00714206">
            <w:pPr>
              <w:rPr>
                <w:sz w:val="28"/>
                <w:szCs w:val="28"/>
              </w:rPr>
            </w:pPr>
          </w:p>
          <w:p w:rsidR="00714206" w:rsidRDefault="00714206">
            <w:pPr>
              <w:rPr>
                <w:sz w:val="28"/>
                <w:szCs w:val="28"/>
              </w:rPr>
            </w:pPr>
          </w:p>
          <w:p w:rsidR="00714206" w:rsidRPr="00F97346" w:rsidRDefault="00714206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714206" w:rsidRPr="005D7CBC" w:rsidRDefault="005D7CBC">
            <w:pPr>
              <w:rPr>
                <w:b/>
                <w:color w:val="000000" w:themeColor="text1"/>
                <w:sz w:val="20"/>
                <w:szCs w:val="20"/>
              </w:rPr>
            </w:pPr>
            <w:r w:rsidRPr="005D7CBC">
              <w:rPr>
                <w:b/>
                <w:color w:val="000000" w:themeColor="text1"/>
                <w:sz w:val="20"/>
                <w:szCs w:val="20"/>
              </w:rPr>
              <w:t>I can …</w:t>
            </w:r>
          </w:p>
        </w:tc>
      </w:tr>
      <w:tr w:rsidR="00714206" w:rsidRPr="00F97346" w:rsidTr="00714206">
        <w:tc>
          <w:tcPr>
            <w:tcW w:w="857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:rsidR="00714206" w:rsidRPr="00F97346" w:rsidRDefault="00714206" w:rsidP="00714206">
            <w:pPr>
              <w:pStyle w:val="Pa6"/>
              <w:spacing w:after="100"/>
            </w:pP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Has a </w:t>
            </w:r>
            <w:r w:rsidRPr="00714206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  <w:u w:val="single"/>
              </w:rPr>
              <w:t>good understanding</w:t>
            </w:r>
            <w:r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 and recall of what one views. </w:t>
            </w: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Provides adequate interpretations and gives reasonable evidence to support responses. </w:t>
            </w:r>
          </w:p>
        </w:tc>
        <w:tc>
          <w:tcPr>
            <w:tcW w:w="5029" w:type="dxa"/>
          </w:tcPr>
          <w:p w:rsidR="00714206" w:rsidRPr="00CF0FDE" w:rsidRDefault="00714206" w:rsidP="00714206">
            <w:pPr>
              <w:pStyle w:val="NoSpacing"/>
              <w:rPr>
                <w:sz w:val="20"/>
                <w:szCs w:val="20"/>
              </w:rPr>
            </w:pPr>
            <w:r w:rsidRPr="00A447D3">
              <w:rPr>
                <w:b/>
                <w:sz w:val="20"/>
                <w:szCs w:val="20"/>
              </w:rPr>
              <w:t>Views</w:t>
            </w:r>
            <w:r w:rsidRPr="00CF0FDE">
              <w:rPr>
                <w:sz w:val="20"/>
                <w:szCs w:val="20"/>
              </w:rPr>
              <w:t xml:space="preserve"> and explains (with support from the text) the key literal and inferential ideas (messages), important details, and how elements (such as </w:t>
            </w:r>
            <w:proofErr w:type="spellStart"/>
            <w:r w:rsidRPr="00CF0FDE">
              <w:rPr>
                <w:sz w:val="20"/>
                <w:szCs w:val="20"/>
              </w:rPr>
              <w:t>colour</w:t>
            </w:r>
            <w:proofErr w:type="spellEnd"/>
            <w:r w:rsidRPr="00CF0FDE">
              <w:rPr>
                <w:sz w:val="20"/>
                <w:szCs w:val="20"/>
              </w:rPr>
              <w:t xml:space="preserve">, layout, medium, and special fonts) enhance and add meaning to fictional and informational texts. </w:t>
            </w:r>
          </w:p>
          <w:p w:rsidR="00714206" w:rsidRPr="00C32ECF" w:rsidRDefault="00714206" w:rsidP="00C32ECF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714206" w:rsidRPr="00A447D3" w:rsidRDefault="00714206" w:rsidP="0071420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14206" w:rsidRPr="00F97346" w:rsidTr="00714206">
        <w:tc>
          <w:tcPr>
            <w:tcW w:w="857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714206" w:rsidRPr="00681CC3" w:rsidRDefault="00714206" w:rsidP="00714206">
            <w:pPr>
              <w:pStyle w:val="Pa6"/>
              <w:spacing w:after="100"/>
              <w:rPr>
                <w:rFonts w:cs="Myriad Pro"/>
                <w:color w:val="000000"/>
              </w:rPr>
            </w:pP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Comprehends the </w:t>
            </w:r>
            <w:r w:rsidRPr="00714206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  <w:u w:val="single"/>
              </w:rPr>
              <w:t>basic ideas</w:t>
            </w: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 and unde</w:t>
            </w:r>
            <w:r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rstands most of what one views. </w:t>
            </w: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Gives some interpretation and provides some evidence to support it. </w:t>
            </w:r>
          </w:p>
        </w:tc>
        <w:tc>
          <w:tcPr>
            <w:tcW w:w="5029" w:type="dxa"/>
          </w:tcPr>
          <w:p w:rsidR="00714206" w:rsidRPr="00CF0FDE" w:rsidRDefault="00714206" w:rsidP="00714206">
            <w:pPr>
              <w:pStyle w:val="NoSpacing"/>
              <w:rPr>
                <w:sz w:val="20"/>
                <w:szCs w:val="20"/>
              </w:rPr>
            </w:pPr>
            <w:r w:rsidRPr="00A447D3">
              <w:rPr>
                <w:b/>
                <w:sz w:val="20"/>
                <w:szCs w:val="20"/>
              </w:rPr>
              <w:t>Views</w:t>
            </w:r>
            <w:r w:rsidRPr="00CF0FDE">
              <w:rPr>
                <w:sz w:val="20"/>
                <w:szCs w:val="20"/>
              </w:rPr>
              <w:t xml:space="preserve"> and explains, with prompting, some of the key literal ideas (messages), important details, and some elements (such as </w:t>
            </w:r>
            <w:proofErr w:type="spellStart"/>
            <w:r w:rsidRPr="00CF0FDE">
              <w:rPr>
                <w:sz w:val="20"/>
                <w:szCs w:val="20"/>
              </w:rPr>
              <w:t>colour</w:t>
            </w:r>
            <w:proofErr w:type="spellEnd"/>
            <w:r w:rsidRPr="00CF0FDE">
              <w:rPr>
                <w:sz w:val="20"/>
                <w:szCs w:val="20"/>
              </w:rPr>
              <w:t xml:space="preserve">, layout, medium, and special fonts) that enhance and add meaning to texts. </w:t>
            </w:r>
          </w:p>
          <w:p w:rsidR="00714206" w:rsidRPr="00F97346" w:rsidRDefault="00714206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714206" w:rsidRPr="00A447D3" w:rsidRDefault="00714206" w:rsidP="0071420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14206" w:rsidRPr="00F97346" w:rsidTr="00714206">
        <w:tc>
          <w:tcPr>
            <w:tcW w:w="857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714206" w:rsidRPr="00681CC3" w:rsidRDefault="00714206" w:rsidP="00714206">
            <w:pPr>
              <w:pStyle w:val="Pa6"/>
              <w:spacing w:after="100"/>
              <w:rPr>
                <w:rFonts w:cs="Myriad Pro"/>
                <w:color w:val="000000"/>
              </w:rPr>
            </w:pP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Understands </w:t>
            </w:r>
            <w:r w:rsidRPr="00714206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  <w:u w:val="single"/>
              </w:rPr>
              <w:t>some</w:t>
            </w: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 of what one views, </w:t>
            </w:r>
            <w:r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681CC3">
              <w:rPr>
                <w:rFonts w:asciiTheme="minorHAnsi" w:hAnsiTheme="minorHAnsi" w:cs="Myriad Pro Light"/>
                <w:b/>
                <w:bCs/>
                <w:color w:val="000000"/>
                <w:sz w:val="20"/>
                <w:szCs w:val="20"/>
              </w:rPr>
              <w:t xml:space="preserve">does not recall much of it. Gives simple or inadequate interpretations and little or no evidence to support responses. </w:t>
            </w:r>
          </w:p>
        </w:tc>
        <w:tc>
          <w:tcPr>
            <w:tcW w:w="5029" w:type="dxa"/>
          </w:tcPr>
          <w:p w:rsidR="00714206" w:rsidRPr="00322637" w:rsidRDefault="00714206" w:rsidP="00714206">
            <w:pPr>
              <w:pStyle w:val="NoSpacing"/>
              <w:rPr>
                <w:sz w:val="20"/>
                <w:szCs w:val="20"/>
              </w:rPr>
            </w:pPr>
            <w:r w:rsidRPr="00A447D3">
              <w:rPr>
                <w:b/>
                <w:sz w:val="20"/>
                <w:szCs w:val="20"/>
              </w:rPr>
              <w:t>Views</w:t>
            </w:r>
            <w:r w:rsidRPr="00322637">
              <w:rPr>
                <w:sz w:val="20"/>
                <w:szCs w:val="20"/>
              </w:rPr>
              <w:t xml:space="preserve"> and identifies, with teacher </w:t>
            </w:r>
            <w:proofErr w:type="spellStart"/>
            <w:r w:rsidRPr="00322637">
              <w:rPr>
                <w:sz w:val="20"/>
                <w:szCs w:val="20"/>
              </w:rPr>
              <w:t>modelling</w:t>
            </w:r>
            <w:proofErr w:type="spellEnd"/>
            <w:r w:rsidRPr="00322637">
              <w:rPr>
                <w:sz w:val="20"/>
                <w:szCs w:val="20"/>
              </w:rPr>
              <w:t xml:space="preserve"> and prompting, a few of the key literal ideas (messages), some of the details, and some elements (such as </w:t>
            </w:r>
            <w:proofErr w:type="spellStart"/>
            <w:r w:rsidRPr="00322637">
              <w:rPr>
                <w:sz w:val="20"/>
                <w:szCs w:val="20"/>
              </w:rPr>
              <w:t>colour</w:t>
            </w:r>
            <w:proofErr w:type="spellEnd"/>
            <w:r w:rsidRPr="00322637">
              <w:rPr>
                <w:sz w:val="20"/>
                <w:szCs w:val="20"/>
              </w:rPr>
              <w:t xml:space="preserve">, illustrations, and special fonts) that enhance and add meaning to fictional and informational texts. </w:t>
            </w:r>
          </w:p>
          <w:p w:rsidR="00714206" w:rsidRPr="00F97346" w:rsidRDefault="00714206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714206" w:rsidRPr="00A447D3" w:rsidRDefault="00714206" w:rsidP="0071420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14206" w:rsidRPr="00F97346" w:rsidTr="00714206">
        <w:tc>
          <w:tcPr>
            <w:tcW w:w="857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714206" w:rsidRPr="00F97346" w:rsidRDefault="00714206" w:rsidP="00714206">
            <w:pPr>
              <w:rPr>
                <w:sz w:val="24"/>
                <w:szCs w:val="24"/>
              </w:rPr>
            </w:pPr>
            <w:r w:rsidRPr="00681CC3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Understands </w:t>
            </w:r>
            <w:r w:rsidRPr="00714206">
              <w:rPr>
                <w:rFonts w:cs="Myriad Pro Light"/>
                <w:b/>
                <w:bCs/>
                <w:color w:val="000000"/>
                <w:sz w:val="20"/>
                <w:szCs w:val="20"/>
                <w:u w:val="single"/>
              </w:rPr>
              <w:t xml:space="preserve">little </w:t>
            </w:r>
            <w:r w:rsidRPr="00681CC3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of what one views, </w:t>
            </w:r>
            <w:r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681CC3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does not recall much of it. Gives simple or inadequate interpretations and little or no evidence to support responses. </w:t>
            </w:r>
          </w:p>
        </w:tc>
        <w:tc>
          <w:tcPr>
            <w:tcW w:w="5029" w:type="dxa"/>
          </w:tcPr>
          <w:p w:rsidR="00714206" w:rsidRPr="00F97346" w:rsidRDefault="00714206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714206" w:rsidRPr="00F97346" w:rsidRDefault="00714206">
            <w:pPr>
              <w:rPr>
                <w:sz w:val="28"/>
                <w:szCs w:val="28"/>
              </w:rPr>
            </w:pPr>
          </w:p>
        </w:tc>
      </w:tr>
    </w:tbl>
    <w:p w:rsidR="00C32ECF" w:rsidRDefault="00C32ECF" w:rsidP="00714206"/>
    <w:sectPr w:rsidR="00C32ECF" w:rsidSect="00714206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21"/>
    <w:multiLevelType w:val="hybridMultilevel"/>
    <w:tmpl w:val="A920DE3E"/>
    <w:lvl w:ilvl="0" w:tplc="7E002CE4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2590D43"/>
    <w:multiLevelType w:val="hybridMultilevel"/>
    <w:tmpl w:val="2B96A76A"/>
    <w:lvl w:ilvl="0" w:tplc="0C567C8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7F64096"/>
    <w:multiLevelType w:val="hybridMultilevel"/>
    <w:tmpl w:val="E6D05AAE"/>
    <w:lvl w:ilvl="0" w:tplc="667054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75DE1"/>
    <w:multiLevelType w:val="hybridMultilevel"/>
    <w:tmpl w:val="ABD495A8"/>
    <w:lvl w:ilvl="0" w:tplc="D2A47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E8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0E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6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2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4A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8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8E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6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FC6C36"/>
    <w:multiLevelType w:val="hybridMultilevel"/>
    <w:tmpl w:val="4AA2958E"/>
    <w:lvl w:ilvl="0" w:tplc="FB883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E1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AE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09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C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44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27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8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80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F34B3A"/>
    <w:multiLevelType w:val="hybridMultilevel"/>
    <w:tmpl w:val="8AB6DB70"/>
    <w:lvl w:ilvl="0" w:tplc="1B84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2E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8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86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C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2F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0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A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84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346"/>
    <w:rsid w:val="000478E7"/>
    <w:rsid w:val="00212A7B"/>
    <w:rsid w:val="00584563"/>
    <w:rsid w:val="005D7CBC"/>
    <w:rsid w:val="00687682"/>
    <w:rsid w:val="006B21A2"/>
    <w:rsid w:val="00714206"/>
    <w:rsid w:val="008B1254"/>
    <w:rsid w:val="008F607B"/>
    <w:rsid w:val="009F7A90"/>
    <w:rsid w:val="00B966EA"/>
    <w:rsid w:val="00C32ECF"/>
    <w:rsid w:val="00C4459F"/>
    <w:rsid w:val="00F9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563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714206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paragraph" w:styleId="NoSpacing">
    <w:name w:val="No Spacing"/>
    <w:uiPriority w:val="1"/>
    <w:qFormat/>
    <w:rsid w:val="00714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1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>Sun West School Division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jade.ballek</dc:creator>
  <cp:keywords/>
  <dc:description/>
  <cp:lastModifiedBy>jade.ballek</cp:lastModifiedBy>
  <cp:revision>4</cp:revision>
  <dcterms:created xsi:type="dcterms:W3CDTF">2010-10-12T17:50:00Z</dcterms:created>
  <dcterms:modified xsi:type="dcterms:W3CDTF">2010-10-12T17:59:00Z</dcterms:modified>
</cp:coreProperties>
</file>